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6B9" w:rsidRPr="00B8752B" w:rsidRDefault="009466B9" w:rsidP="009466B9">
      <w:pPr>
        <w:pStyle w:val="Heading2"/>
      </w:pPr>
      <w:bookmarkStart w:id="0" w:name="_Toc432777711"/>
      <w:r w:rsidRPr="00B8752B">
        <w:t>Instructional Feedback Observation Performance Level Rubric</w:t>
      </w:r>
      <w:bookmarkEnd w:id="0"/>
    </w:p>
    <w:p w:rsidR="009466B9" w:rsidRPr="00B8752B" w:rsidRDefault="009466B9" w:rsidP="009466B9">
      <w:pPr>
        <w:rPr>
          <w:rFonts w:asciiTheme="minorHAnsi" w:hAnsiTheme="minorHAnsi"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2790"/>
        <w:gridCol w:w="2880"/>
        <w:gridCol w:w="3150"/>
        <w:gridCol w:w="2875"/>
      </w:tblGrid>
      <w:tr w:rsidR="009466B9" w:rsidRPr="00B8752B" w:rsidTr="0089463C">
        <w:trPr>
          <w:trHeight w:val="323"/>
        </w:trPr>
        <w:tc>
          <w:tcPr>
            <w:tcW w:w="12950" w:type="dxa"/>
            <w:gridSpan w:val="5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B8752B">
              <w:rPr>
                <w:rFonts w:cstheme="minorHAnsi"/>
                <w:b/>
                <w:sz w:val="26"/>
                <w:szCs w:val="26"/>
              </w:rPr>
              <w:t>Behavioral Indicator 1: Evidence Use</w:t>
            </w:r>
          </w:p>
        </w:tc>
      </w:tr>
      <w:tr w:rsidR="009466B9" w:rsidRPr="00B8752B" w:rsidTr="0089463C">
        <w:trPr>
          <w:trHeight w:val="260"/>
        </w:trPr>
        <w:tc>
          <w:tcPr>
            <w:tcW w:w="1255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Indicator</w:t>
            </w:r>
          </w:p>
        </w:tc>
        <w:tc>
          <w:tcPr>
            <w:tcW w:w="279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Unsatisfactory</w:t>
            </w:r>
          </w:p>
        </w:tc>
        <w:tc>
          <w:tcPr>
            <w:tcW w:w="288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Basic</w:t>
            </w:r>
          </w:p>
        </w:tc>
        <w:tc>
          <w:tcPr>
            <w:tcW w:w="315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Proficient</w:t>
            </w:r>
          </w:p>
        </w:tc>
        <w:tc>
          <w:tcPr>
            <w:tcW w:w="2875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Distinguished</w:t>
            </w:r>
          </w:p>
        </w:tc>
      </w:tr>
      <w:bookmarkStart w:id="1" w:name="_Toc432627886"/>
      <w:bookmarkStart w:id="2" w:name="_Toc432777351"/>
      <w:bookmarkStart w:id="3" w:name="_Toc432777712"/>
      <w:tr w:rsidR="009466B9" w:rsidRPr="00B8752B" w:rsidTr="00E11E2C">
        <w:trPr>
          <w:trHeight w:val="4418"/>
        </w:trPr>
        <w:tc>
          <w:tcPr>
            <w:tcW w:w="1255" w:type="dxa"/>
          </w:tcPr>
          <w:p w:rsidR="009466B9" w:rsidRPr="00B8752B" w:rsidRDefault="009466B9" w:rsidP="00E11E2C">
            <w:pPr>
              <w:pStyle w:val="Heading2"/>
              <w:outlineLvl w:val="1"/>
            </w:pPr>
            <w:r w:rsidRPr="00B8752B"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537FDB" wp14:editId="585CB85E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897890</wp:posOffset>
                      </wp:positionV>
                      <wp:extent cx="685800" cy="590550"/>
                      <wp:effectExtent l="19050" t="19050" r="19050" b="19050"/>
                      <wp:wrapNone/>
                      <wp:docPr id="17" name="Hexag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590550"/>
                              </a:xfrm>
                              <a:prstGeom prst="hexagon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38100" cmpd="sng"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466B9" w:rsidRPr="00AB3930" w:rsidRDefault="009466B9" w:rsidP="009466B9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AB3930">
                                    <w:rPr>
                                      <w:rFonts w:asciiTheme="minorHAnsi" w:hAnsiTheme="minorHAnsi" w:cstheme="minorHAnsi"/>
                                      <w:b/>
                                      <w:sz w:val="40"/>
                                      <w:szCs w:val="4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537FDB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17" o:spid="_x0000_s1026" type="#_x0000_t9" style="position:absolute;margin-left:-1.9pt;margin-top:70.7pt;width:54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" adj="4650" fillcolor="gray [1629]" strokecolor="#aeaaaa [2414]" strokeweight="3pt">
                      <v:textbox>
                        <w:txbxContent>
                          <w:p w:rsidR="009466B9" w:rsidRPr="00AB3930" w:rsidRDefault="009466B9" w:rsidP="009466B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40"/>
                                <w:szCs w:val="40"/>
                              </w:rPr>
                            </w:pPr>
                            <w:r w:rsidRPr="00AB3930">
                              <w:rPr>
                                <w:rFonts w:asciiTheme="minorHAnsi" w:hAnsiTheme="minorHAnsi" w:cstheme="minorHAnsi"/>
                                <w:b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End w:id="1"/>
            <w:bookmarkEnd w:id="2"/>
            <w:bookmarkEnd w:id="3"/>
          </w:p>
        </w:tc>
        <w:tc>
          <w:tcPr>
            <w:tcW w:w="2790" w:type="dxa"/>
          </w:tcPr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principal or assistant principal provides the teacher with completed evaluation forms in writing. </w:t>
            </w:r>
          </w:p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</w:p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</w:p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</w:p>
        </w:tc>
        <w:tc>
          <w:tcPr>
            <w:tcW w:w="2880" w:type="dxa"/>
          </w:tcPr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principal or assistant principal centers the conversation on evidence collected during the classroom observation. </w:t>
            </w:r>
          </w:p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principal or assistant principal accurately connects evidence with appropriate standards and indicators and uses vocabulary from the instructional framework. </w:t>
            </w:r>
          </w:p>
        </w:tc>
        <w:tc>
          <w:tcPr>
            <w:tcW w:w="3150" w:type="dxa"/>
          </w:tcPr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  <w:r w:rsidRPr="00B8752B">
              <w:rPr>
                <w:rFonts w:cstheme="minorHAnsi"/>
              </w:rPr>
              <w:t>The principal or assistant principal considers the teacher’s interpretations of the observation evidence.</w:t>
            </w:r>
          </w:p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  <w:r w:rsidRPr="00B8752B">
              <w:rPr>
                <w:rFonts w:cstheme="minorHAnsi"/>
              </w:rPr>
              <w:t>The principal or assistant principal encourages teachers, either during pre-observation</w:t>
            </w:r>
            <w:r w:rsidRPr="00B8752B">
              <w:rPr>
                <w:rStyle w:val="FootnoteReference"/>
                <w:rFonts w:cstheme="minorHAnsi"/>
              </w:rPr>
              <w:footnoteReference w:id="1"/>
            </w:r>
            <w:r w:rsidRPr="00B8752B">
              <w:rPr>
                <w:rFonts w:cstheme="minorHAnsi"/>
              </w:rPr>
              <w:t xml:space="preserve"> or post-observation meetings, to bring additional evidence to determine effectiveness of observed teaching and learning.</w:t>
            </w:r>
          </w:p>
        </w:tc>
        <w:tc>
          <w:tcPr>
            <w:tcW w:w="2875" w:type="dxa"/>
          </w:tcPr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  <w:r w:rsidRPr="00B8752B">
              <w:rPr>
                <w:rFonts w:cstheme="minorHAnsi"/>
              </w:rPr>
              <w:t>The principal or assistant principal integrates observation evidence with teacher-provided evidence (e.g., student work related to observed lesson).</w:t>
            </w:r>
          </w:p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</w:p>
        </w:tc>
      </w:tr>
    </w:tbl>
    <w:p w:rsidR="009466B9" w:rsidRPr="00B8752B" w:rsidRDefault="009466B9" w:rsidP="009466B9">
      <w:pPr>
        <w:rPr>
          <w:rFonts w:asciiTheme="minorHAnsi" w:hAnsiTheme="minorHAnsi" w:cstheme="minorHAnsi"/>
        </w:rPr>
      </w:pPr>
      <w:r w:rsidRPr="00B8752B">
        <w:rPr>
          <w:rFonts w:asciiTheme="minorHAnsi" w:hAnsiTheme="minorHAnsi" w:cstheme="minorHAnsi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2790"/>
        <w:gridCol w:w="2880"/>
        <w:gridCol w:w="3150"/>
        <w:gridCol w:w="2875"/>
      </w:tblGrid>
      <w:tr w:rsidR="009466B9" w:rsidRPr="00B8752B" w:rsidTr="00E11E2C">
        <w:trPr>
          <w:trHeight w:val="287"/>
        </w:trPr>
        <w:tc>
          <w:tcPr>
            <w:tcW w:w="12950" w:type="dxa"/>
            <w:gridSpan w:val="5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B8752B">
              <w:rPr>
                <w:rFonts w:cstheme="minorHAnsi"/>
                <w:sz w:val="26"/>
                <w:szCs w:val="26"/>
              </w:rPr>
              <w:lastRenderedPageBreak/>
              <w:t xml:space="preserve"> </w:t>
            </w:r>
            <w:r w:rsidRPr="00B8752B">
              <w:rPr>
                <w:rFonts w:cstheme="minorHAnsi"/>
                <w:b/>
                <w:sz w:val="26"/>
                <w:szCs w:val="26"/>
              </w:rPr>
              <w:t>Behavioral Indicator 2: Professional Interactions</w:t>
            </w:r>
          </w:p>
        </w:tc>
      </w:tr>
      <w:tr w:rsidR="009466B9" w:rsidRPr="00B8752B" w:rsidTr="00E11E2C">
        <w:tc>
          <w:tcPr>
            <w:tcW w:w="1255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Indicator</w:t>
            </w:r>
          </w:p>
        </w:tc>
        <w:tc>
          <w:tcPr>
            <w:tcW w:w="279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Unsatisfactory</w:t>
            </w:r>
          </w:p>
        </w:tc>
        <w:tc>
          <w:tcPr>
            <w:tcW w:w="288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Basic</w:t>
            </w:r>
          </w:p>
        </w:tc>
        <w:tc>
          <w:tcPr>
            <w:tcW w:w="315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Proficient</w:t>
            </w:r>
          </w:p>
        </w:tc>
        <w:tc>
          <w:tcPr>
            <w:tcW w:w="2875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Distinguished</w:t>
            </w:r>
          </w:p>
        </w:tc>
      </w:tr>
      <w:bookmarkStart w:id="4" w:name="_Toc432627887"/>
      <w:bookmarkStart w:id="5" w:name="_Toc432777352"/>
      <w:bookmarkStart w:id="6" w:name="_Toc432777713"/>
      <w:tr w:rsidR="009466B9" w:rsidRPr="00B8752B" w:rsidTr="00E11E2C">
        <w:trPr>
          <w:trHeight w:val="5597"/>
        </w:trPr>
        <w:tc>
          <w:tcPr>
            <w:tcW w:w="1255" w:type="dxa"/>
          </w:tcPr>
          <w:p w:rsidR="009466B9" w:rsidRPr="00B8752B" w:rsidRDefault="009466B9" w:rsidP="00E11E2C">
            <w:pPr>
              <w:pStyle w:val="Heading2"/>
              <w:outlineLvl w:val="1"/>
            </w:pPr>
            <w:r w:rsidRPr="00B8752B"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19D6BF" wp14:editId="1250641C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1441450</wp:posOffset>
                      </wp:positionV>
                      <wp:extent cx="704850" cy="600075"/>
                      <wp:effectExtent l="19050" t="19050" r="19050" b="28575"/>
                      <wp:wrapNone/>
                      <wp:docPr id="21" name="Hexagon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600075"/>
                              </a:xfrm>
                              <a:prstGeom prst="hexagon">
                                <a:avLst/>
                              </a:prstGeom>
                              <a:solidFill>
                                <a:srgbClr val="FF3399"/>
                              </a:solidFill>
                              <a:ln w="38100" cmpd="sng">
                                <a:solidFill>
                                  <a:srgbClr val="FF99CC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466B9" w:rsidRPr="00AB3930" w:rsidRDefault="009466B9" w:rsidP="009466B9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40"/>
                                      <w:szCs w:val="4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9D6BF" id="Hexagon 21" o:spid="_x0000_s1027" type="#_x0000_t9" style="position:absolute;margin-left:-2.65pt;margin-top:113.5pt;width:55.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" adj="4597" fillcolor="#f39" strokecolor="#f9c" strokeweight="3pt">
                      <v:textbox>
                        <w:txbxContent>
                          <w:p w:rsidR="009466B9" w:rsidRPr="00AB3930" w:rsidRDefault="009466B9" w:rsidP="009466B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End w:id="4"/>
            <w:bookmarkEnd w:id="5"/>
            <w:bookmarkEnd w:id="6"/>
          </w:p>
        </w:tc>
        <w:tc>
          <w:tcPr>
            <w:tcW w:w="2790" w:type="dxa"/>
          </w:tcPr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principal or assistant principal shows he/she is listening by making eye contact with the teacher throughout the meeting. </w:t>
            </w:r>
          </w:p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meeting environment allows the teacher and principal or assistant principal to view and edit documents. </w:t>
            </w:r>
          </w:p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  <w:r w:rsidRPr="00B8752B">
              <w:rPr>
                <w:rFonts w:cstheme="minorHAnsi"/>
              </w:rPr>
              <w:t>The principal or assistant principal provides undivided attention and minimizes disruptions.</w:t>
            </w:r>
          </w:p>
        </w:tc>
        <w:tc>
          <w:tcPr>
            <w:tcW w:w="2880" w:type="dxa"/>
          </w:tcPr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principal or assistant principal and teacher use respectful language, listen to each other when speaking, and respond to each other’s viewpoints. </w:t>
            </w:r>
          </w:p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  <w:r w:rsidRPr="00B8752B">
              <w:rPr>
                <w:rFonts w:cstheme="minorHAnsi"/>
              </w:rPr>
              <w:t>The principal or assistant principal checks in with the teacher to ensure understanding and responds to the teacher’s perspectives and needs.</w:t>
            </w:r>
          </w:p>
        </w:tc>
        <w:tc>
          <w:tcPr>
            <w:tcW w:w="3150" w:type="dxa"/>
          </w:tcPr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  <w:r w:rsidRPr="00B8752B">
              <w:rPr>
                <w:rFonts w:cstheme="minorHAnsi"/>
              </w:rPr>
              <w:t>The meeting is conversational and balanced, with the principal or assistant principal providing multiple opportunities for both the teacher and principal or assistant principal to discuss observed instructional practices.</w:t>
            </w:r>
          </w:p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  <w:r w:rsidRPr="00B8752B">
              <w:rPr>
                <w:rFonts w:cstheme="minorHAnsi"/>
              </w:rPr>
              <w:t>The principal or assistant principal engages with the teacher’s responses by paraphrasing the teacher’s statements to acknowledge, clarify, summarize, or help organize the teacher’s thoughts.</w:t>
            </w:r>
          </w:p>
        </w:tc>
        <w:tc>
          <w:tcPr>
            <w:tcW w:w="2875" w:type="dxa"/>
          </w:tcPr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principal or assistant principal encourages and responds positively when the teacher pushes back on the principal’s or assistant principal’s suggestions or interpretations. </w:t>
            </w:r>
          </w:p>
          <w:p w:rsidR="009466B9" w:rsidRPr="00B8752B" w:rsidRDefault="009466B9" w:rsidP="00E11E2C">
            <w:pPr>
              <w:spacing w:before="240" w:after="6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principal or assistant principal engages the teacher in conversation about taking instructional risks, and provides assurances that risk will be supported. </w:t>
            </w:r>
          </w:p>
        </w:tc>
      </w:tr>
    </w:tbl>
    <w:p w:rsidR="009466B9" w:rsidRPr="00B8752B" w:rsidRDefault="009466B9" w:rsidP="009466B9"/>
    <w:p w:rsidR="009466B9" w:rsidRPr="00B8752B" w:rsidRDefault="009466B9" w:rsidP="009466B9">
      <w:pPr>
        <w:rPr>
          <w:rFonts w:asciiTheme="minorHAnsi" w:hAnsiTheme="minorHAnsi" w:cstheme="minorHAnsi"/>
        </w:rPr>
      </w:pPr>
      <w:r w:rsidRPr="00B8752B">
        <w:rPr>
          <w:rFonts w:asciiTheme="minorHAnsi" w:hAnsiTheme="minorHAnsi" w:cstheme="minorHAnsi"/>
        </w:rPr>
        <w:br w:type="page"/>
      </w: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1255"/>
        <w:gridCol w:w="2790"/>
        <w:gridCol w:w="2880"/>
        <w:gridCol w:w="3150"/>
        <w:gridCol w:w="2880"/>
      </w:tblGrid>
      <w:tr w:rsidR="009466B9" w:rsidRPr="00B8752B" w:rsidTr="00E11E2C">
        <w:trPr>
          <w:trHeight w:val="350"/>
        </w:trPr>
        <w:tc>
          <w:tcPr>
            <w:tcW w:w="12955" w:type="dxa"/>
            <w:gridSpan w:val="5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B8752B">
              <w:rPr>
                <w:rFonts w:cstheme="minorHAnsi"/>
                <w:b/>
                <w:sz w:val="26"/>
                <w:szCs w:val="26"/>
              </w:rPr>
              <w:lastRenderedPageBreak/>
              <w:t>Behavioral Indicator 3: Differentiated Questioning</w:t>
            </w:r>
          </w:p>
        </w:tc>
      </w:tr>
      <w:tr w:rsidR="009466B9" w:rsidRPr="00B8752B" w:rsidTr="00E11E2C">
        <w:tc>
          <w:tcPr>
            <w:tcW w:w="1255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Indicator</w:t>
            </w:r>
          </w:p>
        </w:tc>
        <w:tc>
          <w:tcPr>
            <w:tcW w:w="279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Unsatisfactory</w:t>
            </w:r>
          </w:p>
        </w:tc>
        <w:tc>
          <w:tcPr>
            <w:tcW w:w="288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Basic</w:t>
            </w:r>
          </w:p>
        </w:tc>
        <w:tc>
          <w:tcPr>
            <w:tcW w:w="315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Proficient</w:t>
            </w:r>
          </w:p>
        </w:tc>
        <w:tc>
          <w:tcPr>
            <w:tcW w:w="288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Distinguished</w:t>
            </w:r>
          </w:p>
        </w:tc>
      </w:tr>
      <w:bookmarkStart w:id="7" w:name="_Toc432627888"/>
      <w:bookmarkStart w:id="8" w:name="_Toc432777353"/>
      <w:bookmarkStart w:id="9" w:name="_Toc432777714"/>
      <w:tr w:rsidR="009466B9" w:rsidRPr="00B8752B" w:rsidTr="00E11E2C">
        <w:tc>
          <w:tcPr>
            <w:tcW w:w="1255" w:type="dxa"/>
          </w:tcPr>
          <w:p w:rsidR="009466B9" w:rsidRPr="00B8752B" w:rsidRDefault="009466B9" w:rsidP="00E11E2C">
            <w:pPr>
              <w:pStyle w:val="Heading2"/>
              <w:outlineLvl w:val="1"/>
            </w:pPr>
            <w:r w:rsidRPr="00B8752B"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11D506D" wp14:editId="4CA33FA9">
                      <wp:simplePos x="0" y="0"/>
                      <wp:positionH relativeFrom="column">
                        <wp:posOffset>-24131</wp:posOffset>
                      </wp:positionH>
                      <wp:positionV relativeFrom="paragraph">
                        <wp:posOffset>479425</wp:posOffset>
                      </wp:positionV>
                      <wp:extent cx="714375" cy="638175"/>
                      <wp:effectExtent l="19050" t="19050" r="28575" b="28575"/>
                      <wp:wrapNone/>
                      <wp:docPr id="22" name="Hexagon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638175"/>
                              </a:xfrm>
                              <a:prstGeom prst="hexagon">
                                <a:avLst/>
                              </a:prstGeom>
                              <a:solidFill>
                                <a:srgbClr val="FFCC00"/>
                              </a:solidFill>
                              <a:ln w="38100" cmpd="sng">
                                <a:solidFill>
                                  <a:srgbClr val="FFCC9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466B9" w:rsidRPr="00AB3930" w:rsidRDefault="009466B9" w:rsidP="009466B9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40"/>
                                      <w:szCs w:val="4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1D506D" id="Hexagon 22" o:spid="_x0000_s1028" type="#_x0000_t9" style="position:absolute;margin-left:-1.9pt;margin-top:37.75pt;width:56.25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" adj="4824" fillcolor="#fc0" strokecolor="#fc9" strokeweight="3pt">
                      <v:textbox>
                        <w:txbxContent>
                          <w:p w:rsidR="009466B9" w:rsidRPr="00AB3930" w:rsidRDefault="009466B9" w:rsidP="009466B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End w:id="7"/>
            <w:bookmarkEnd w:id="8"/>
            <w:bookmarkEnd w:id="9"/>
          </w:p>
        </w:tc>
        <w:tc>
          <w:tcPr>
            <w:tcW w:w="2790" w:type="dxa"/>
          </w:tcPr>
          <w:p w:rsidR="009466B9" w:rsidRPr="00B8752B" w:rsidRDefault="009466B9" w:rsidP="00E11E2C">
            <w:pPr>
              <w:spacing w:before="24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principal </w:t>
            </w:r>
            <w:r>
              <w:rPr>
                <w:rFonts w:cstheme="minorHAnsi"/>
              </w:rPr>
              <w:t xml:space="preserve">or assistant principal </w:t>
            </w:r>
            <w:r w:rsidRPr="00B8752B">
              <w:rPr>
                <w:rFonts w:cstheme="minorHAnsi"/>
              </w:rPr>
              <w:t xml:space="preserve">asks factual questions that require the teacher to describe or name aspects of practice, but moves on without expanding on the teacher’s comments.  </w:t>
            </w:r>
          </w:p>
        </w:tc>
        <w:tc>
          <w:tcPr>
            <w:tcW w:w="2880" w:type="dxa"/>
          </w:tcPr>
          <w:p w:rsidR="009466B9" w:rsidRPr="00B8752B" w:rsidRDefault="009466B9" w:rsidP="00E11E2C">
            <w:pPr>
              <w:spacing w:before="24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principal </w:t>
            </w:r>
            <w:r>
              <w:rPr>
                <w:rFonts w:cstheme="minorHAnsi"/>
              </w:rPr>
              <w:t xml:space="preserve">or assistant principal </w:t>
            </w:r>
            <w:r w:rsidRPr="00B8752B">
              <w:rPr>
                <w:rFonts w:cstheme="minorHAnsi"/>
              </w:rPr>
              <w:t>asks reflective questions that prompt the teacher to reflect on evidence and the rubric, and to explain his or her thinking.</w:t>
            </w:r>
          </w:p>
          <w:p w:rsidR="009466B9" w:rsidRPr="00B8752B" w:rsidRDefault="009466B9" w:rsidP="00E11E2C">
            <w:pPr>
              <w:spacing w:before="24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 </w:t>
            </w:r>
          </w:p>
        </w:tc>
        <w:tc>
          <w:tcPr>
            <w:tcW w:w="3150" w:type="dxa"/>
          </w:tcPr>
          <w:p w:rsidR="009466B9" w:rsidRPr="00B8752B" w:rsidRDefault="009466B9" w:rsidP="00E11E2C">
            <w:pPr>
              <w:spacing w:before="240" w:after="24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principal </w:t>
            </w:r>
            <w:r>
              <w:rPr>
                <w:rFonts w:cstheme="minorHAnsi"/>
              </w:rPr>
              <w:t xml:space="preserve">or assistant principal </w:t>
            </w:r>
            <w:r w:rsidRPr="00B8752B">
              <w:rPr>
                <w:rFonts w:cstheme="minorHAnsi"/>
              </w:rPr>
              <w:t>asks questions that help the teacher connect the observation feedback to student learning and prompt the teacher to brainstorm potential improvements or alternative strategies.</w:t>
            </w:r>
          </w:p>
        </w:tc>
        <w:tc>
          <w:tcPr>
            <w:tcW w:w="2880" w:type="dxa"/>
          </w:tcPr>
          <w:p w:rsidR="009466B9" w:rsidRPr="00B8752B" w:rsidRDefault="009466B9" w:rsidP="00E11E2C">
            <w:pPr>
              <w:spacing w:before="240" w:after="24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principal </w:t>
            </w:r>
            <w:r>
              <w:rPr>
                <w:rFonts w:cstheme="minorHAnsi"/>
              </w:rPr>
              <w:t xml:space="preserve">or assistant principal </w:t>
            </w:r>
            <w:r w:rsidRPr="00B8752B">
              <w:rPr>
                <w:rFonts w:cstheme="minorHAnsi"/>
              </w:rPr>
              <w:t>asks questions that prompt the teacher to reflect on the feasibility of potential improvements or alternative strategies and their implementation in the classroom.</w:t>
            </w:r>
          </w:p>
        </w:tc>
      </w:tr>
      <w:tr w:rsidR="009466B9" w:rsidRPr="00B8752B" w:rsidTr="00E11E2C">
        <w:trPr>
          <w:trHeight w:val="350"/>
        </w:trPr>
        <w:tc>
          <w:tcPr>
            <w:tcW w:w="12955" w:type="dxa"/>
            <w:gridSpan w:val="5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B8752B">
              <w:rPr>
                <w:rFonts w:cstheme="minorHAnsi"/>
                <w:b/>
                <w:sz w:val="26"/>
                <w:szCs w:val="26"/>
              </w:rPr>
              <w:t>Behavioral Indicator 4: Leading Conversation</w:t>
            </w:r>
          </w:p>
        </w:tc>
      </w:tr>
      <w:tr w:rsidR="009466B9" w:rsidRPr="00B8752B" w:rsidTr="00E11E2C">
        <w:tc>
          <w:tcPr>
            <w:tcW w:w="1255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Indicator</w:t>
            </w:r>
          </w:p>
        </w:tc>
        <w:tc>
          <w:tcPr>
            <w:tcW w:w="279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Unsatisfactory</w:t>
            </w:r>
          </w:p>
        </w:tc>
        <w:tc>
          <w:tcPr>
            <w:tcW w:w="288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Basic</w:t>
            </w:r>
          </w:p>
        </w:tc>
        <w:tc>
          <w:tcPr>
            <w:tcW w:w="315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Proficient</w:t>
            </w:r>
          </w:p>
        </w:tc>
        <w:tc>
          <w:tcPr>
            <w:tcW w:w="288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Distinguished</w:t>
            </w:r>
          </w:p>
        </w:tc>
      </w:tr>
      <w:bookmarkStart w:id="10" w:name="_Toc432627889"/>
      <w:bookmarkStart w:id="11" w:name="_Toc432777354"/>
      <w:bookmarkStart w:id="12" w:name="_Toc432777715"/>
      <w:tr w:rsidR="009466B9" w:rsidRPr="00B8752B" w:rsidTr="00E11E2C">
        <w:trPr>
          <w:trHeight w:val="3878"/>
        </w:trPr>
        <w:tc>
          <w:tcPr>
            <w:tcW w:w="1255" w:type="dxa"/>
          </w:tcPr>
          <w:p w:rsidR="009466B9" w:rsidRPr="00B8752B" w:rsidRDefault="009466B9" w:rsidP="00E11E2C">
            <w:pPr>
              <w:pStyle w:val="Heading2"/>
              <w:outlineLvl w:val="1"/>
            </w:pPr>
            <w:r w:rsidRPr="00B8752B"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CE1CF9" wp14:editId="573A497B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784860</wp:posOffset>
                      </wp:positionV>
                      <wp:extent cx="714375" cy="638175"/>
                      <wp:effectExtent l="19050" t="19050" r="28575" b="28575"/>
                      <wp:wrapNone/>
                      <wp:docPr id="24" name="Hexagon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638175"/>
                              </a:xfrm>
                              <a:prstGeom prst="hexagon">
                                <a:avLst/>
                              </a:prstGeom>
                              <a:solidFill>
                                <a:srgbClr val="92D050"/>
                              </a:solidFill>
                              <a:ln w="38100" cmpd="sng">
                                <a:solidFill>
                                  <a:srgbClr val="BAE18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466B9" w:rsidRPr="00AB3930" w:rsidRDefault="009466B9" w:rsidP="009466B9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40"/>
                                      <w:szCs w:val="4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E1CF9" id="Hexagon 24" o:spid="_x0000_s1029" type="#_x0000_t9" style="position:absolute;margin-left:-1.9pt;margin-top:61.8pt;width:56.25pt;height:5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" adj="4824" fillcolor="#92d050" strokecolor="#bae18f" strokeweight="3pt">
                      <v:textbox>
                        <w:txbxContent>
                          <w:p w:rsidR="009466B9" w:rsidRPr="00AB3930" w:rsidRDefault="009466B9" w:rsidP="009466B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End w:id="10"/>
            <w:bookmarkEnd w:id="11"/>
            <w:bookmarkEnd w:id="12"/>
          </w:p>
        </w:tc>
        <w:tc>
          <w:tcPr>
            <w:tcW w:w="2790" w:type="dxa"/>
          </w:tcPr>
          <w:p w:rsidR="009466B9" w:rsidRPr="00B8752B" w:rsidRDefault="009466B9" w:rsidP="00E11E2C">
            <w:pPr>
              <w:spacing w:before="240" w:after="240"/>
              <w:rPr>
                <w:rFonts w:cstheme="minorHAnsi"/>
                <w:color w:val="000000" w:themeColor="text1"/>
              </w:rPr>
            </w:pPr>
            <w:r w:rsidRPr="00B8752B">
              <w:rPr>
                <w:rFonts w:cstheme="minorHAnsi"/>
                <w:color w:val="000000" w:themeColor="text1"/>
              </w:rPr>
              <w:t xml:space="preserve">The principal </w:t>
            </w:r>
            <w:r>
              <w:rPr>
                <w:rFonts w:cstheme="minorHAnsi"/>
              </w:rPr>
              <w:t xml:space="preserve">or assistant principal </w:t>
            </w:r>
            <w:r w:rsidRPr="00B8752B">
              <w:rPr>
                <w:rFonts w:cstheme="minorHAnsi"/>
                <w:color w:val="000000" w:themeColor="text1"/>
              </w:rPr>
              <w:t>prepares for the conversation by identifying meeting goals and developing a short outline for the meeting.</w:t>
            </w:r>
          </w:p>
          <w:p w:rsidR="009466B9" w:rsidRPr="00B8752B" w:rsidRDefault="009466B9" w:rsidP="00E11E2C">
            <w:pPr>
              <w:rPr>
                <w:rFonts w:cstheme="minorHAnsi"/>
              </w:rPr>
            </w:pPr>
            <w:r w:rsidRPr="00B8752B"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2880" w:type="dxa"/>
          </w:tcPr>
          <w:p w:rsidR="009466B9" w:rsidRPr="00B8752B" w:rsidRDefault="009466B9" w:rsidP="00E11E2C">
            <w:pPr>
              <w:spacing w:before="240" w:after="12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principal </w:t>
            </w:r>
            <w:r>
              <w:rPr>
                <w:rFonts w:cstheme="minorHAnsi"/>
              </w:rPr>
              <w:t xml:space="preserve">or assistant principal </w:t>
            </w:r>
            <w:r w:rsidRPr="00B8752B">
              <w:rPr>
                <w:rFonts w:cstheme="minorHAnsi"/>
              </w:rPr>
              <w:t xml:space="preserve">paces the conversation to focus primarily on no more than two areas of growth and two areas of strength based on observation evidence and framework indicators. </w:t>
            </w:r>
          </w:p>
          <w:p w:rsidR="009466B9" w:rsidRPr="00B8752B" w:rsidRDefault="009466B9" w:rsidP="00E11E2C">
            <w:pPr>
              <w:rPr>
                <w:rFonts w:cstheme="minorHAnsi"/>
              </w:rPr>
            </w:pPr>
            <w:r w:rsidRPr="00B8752B"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3150" w:type="dxa"/>
          </w:tcPr>
          <w:p w:rsidR="009466B9" w:rsidRPr="00B8752B" w:rsidRDefault="009466B9" w:rsidP="00E11E2C">
            <w:pPr>
              <w:spacing w:before="240" w:after="120"/>
              <w:rPr>
                <w:rFonts w:cstheme="minorHAnsi"/>
              </w:rPr>
            </w:pPr>
            <w:r w:rsidRPr="00B8752B">
              <w:rPr>
                <w:rFonts w:cstheme="minorHAnsi"/>
                <w:color w:val="000000" w:themeColor="text1"/>
              </w:rPr>
              <w:t xml:space="preserve">The </w:t>
            </w:r>
            <w:r w:rsidRPr="00B8752B">
              <w:rPr>
                <w:rFonts w:cstheme="minorHAnsi"/>
              </w:rPr>
              <w:t xml:space="preserve">conversation culminates in concrete action steps to improve practice immediately. </w:t>
            </w:r>
          </w:p>
          <w:p w:rsidR="009466B9" w:rsidRPr="00B8752B" w:rsidRDefault="009466B9" w:rsidP="00E11E2C">
            <w:pPr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principal </w:t>
            </w:r>
            <w:r>
              <w:rPr>
                <w:rFonts w:cstheme="minorHAnsi"/>
              </w:rPr>
              <w:t xml:space="preserve">or assistant principal </w:t>
            </w:r>
            <w:r w:rsidRPr="00B8752B">
              <w:rPr>
                <w:rFonts w:cstheme="minorHAnsi"/>
              </w:rPr>
              <w:t xml:space="preserve">identifies resources that the teacher can access to improve in identified areas for growth and strength (e.g., colleagues, professional development, communities of practice, print and online resources). </w:t>
            </w:r>
            <w:r w:rsidRPr="00B8752B">
              <w:rPr>
                <w:rFonts w:cstheme="minorHAnsi"/>
                <w:b/>
                <w:color w:val="000000" w:themeColor="text1"/>
              </w:rPr>
              <w:t xml:space="preserve"> </w:t>
            </w:r>
          </w:p>
        </w:tc>
        <w:tc>
          <w:tcPr>
            <w:tcW w:w="2880" w:type="dxa"/>
          </w:tcPr>
          <w:p w:rsidR="009466B9" w:rsidRPr="00B8752B" w:rsidRDefault="009466B9" w:rsidP="00E11E2C">
            <w:pPr>
              <w:spacing w:before="24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principal </w:t>
            </w:r>
            <w:r>
              <w:rPr>
                <w:rFonts w:cstheme="minorHAnsi"/>
              </w:rPr>
              <w:t xml:space="preserve">or assistant principal </w:t>
            </w:r>
            <w:r w:rsidRPr="00B8752B">
              <w:rPr>
                <w:rFonts w:cstheme="minorHAnsi"/>
              </w:rPr>
              <w:t xml:space="preserve">discusses the actions that school leadership (e.g., principal, other administrators, teacher leaders, instructional coach) will take to support the teacher in improving performance. </w:t>
            </w:r>
          </w:p>
        </w:tc>
      </w:tr>
    </w:tbl>
    <w:p w:rsidR="009466B9" w:rsidRDefault="009466B9" w:rsidP="009466B9">
      <w:pPr>
        <w:rPr>
          <w:rFonts w:asciiTheme="minorHAnsi" w:hAnsiTheme="minorHAnsi" w:cstheme="minorHAnsi"/>
        </w:rPr>
      </w:pPr>
    </w:p>
    <w:p w:rsidR="0089463C" w:rsidRDefault="0089463C" w:rsidP="009466B9">
      <w:pPr>
        <w:rPr>
          <w:rFonts w:asciiTheme="minorHAnsi" w:hAnsiTheme="minorHAnsi" w:cstheme="minorHAnsi"/>
        </w:rPr>
      </w:pPr>
    </w:p>
    <w:p w:rsidR="0089463C" w:rsidRDefault="0089463C" w:rsidP="009466B9">
      <w:pPr>
        <w:rPr>
          <w:rFonts w:asciiTheme="minorHAnsi" w:hAnsiTheme="minorHAnsi" w:cstheme="minorHAnsi"/>
        </w:rPr>
      </w:pPr>
      <w:bookmarkStart w:id="13" w:name="_GoBack"/>
      <w:bookmarkEnd w:id="13"/>
    </w:p>
    <w:p w:rsidR="0089463C" w:rsidRDefault="0089463C" w:rsidP="009466B9">
      <w:pPr>
        <w:rPr>
          <w:rFonts w:asciiTheme="minorHAnsi" w:hAnsiTheme="minorHAnsi" w:cstheme="minorHAnsi"/>
        </w:rPr>
      </w:pPr>
    </w:p>
    <w:p w:rsidR="0089463C" w:rsidRPr="00B8752B" w:rsidRDefault="0089463C" w:rsidP="009466B9">
      <w:pPr>
        <w:rPr>
          <w:rFonts w:asciiTheme="minorHAnsi" w:hAnsiTheme="minorHAnsi" w:cstheme="minorHAnsi"/>
        </w:rPr>
      </w:pPr>
    </w:p>
    <w:tbl>
      <w:tblPr>
        <w:tblStyle w:val="TableGrid"/>
        <w:tblW w:w="12955" w:type="dxa"/>
        <w:tblLook w:val="04A0" w:firstRow="1" w:lastRow="0" w:firstColumn="1" w:lastColumn="0" w:noHBand="0" w:noVBand="1"/>
      </w:tblPr>
      <w:tblGrid>
        <w:gridCol w:w="1255"/>
        <w:gridCol w:w="2790"/>
        <w:gridCol w:w="2880"/>
        <w:gridCol w:w="3150"/>
        <w:gridCol w:w="2880"/>
      </w:tblGrid>
      <w:tr w:rsidR="009466B9" w:rsidRPr="00B8752B" w:rsidTr="00E11E2C">
        <w:trPr>
          <w:trHeight w:val="350"/>
        </w:trPr>
        <w:tc>
          <w:tcPr>
            <w:tcW w:w="12955" w:type="dxa"/>
            <w:gridSpan w:val="5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B8752B">
              <w:rPr>
                <w:rFonts w:cstheme="minorHAnsi"/>
                <w:b/>
                <w:sz w:val="26"/>
                <w:szCs w:val="26"/>
              </w:rPr>
              <w:lastRenderedPageBreak/>
              <w:t>Behavioral Indicator 5: Written Feedback</w:t>
            </w:r>
          </w:p>
        </w:tc>
      </w:tr>
      <w:tr w:rsidR="009466B9" w:rsidRPr="00B8752B" w:rsidTr="00E11E2C">
        <w:tc>
          <w:tcPr>
            <w:tcW w:w="1255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Indicator</w:t>
            </w:r>
          </w:p>
        </w:tc>
        <w:tc>
          <w:tcPr>
            <w:tcW w:w="279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Unsatisfactory</w:t>
            </w:r>
          </w:p>
        </w:tc>
        <w:tc>
          <w:tcPr>
            <w:tcW w:w="288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Basic</w:t>
            </w:r>
          </w:p>
        </w:tc>
        <w:tc>
          <w:tcPr>
            <w:tcW w:w="315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Proficient</w:t>
            </w:r>
          </w:p>
        </w:tc>
        <w:tc>
          <w:tcPr>
            <w:tcW w:w="2880" w:type="dxa"/>
            <w:shd w:val="clear" w:color="auto" w:fill="B4DE86"/>
          </w:tcPr>
          <w:p w:rsidR="009466B9" w:rsidRPr="00B8752B" w:rsidRDefault="009466B9" w:rsidP="0089463C">
            <w:pPr>
              <w:jc w:val="center"/>
              <w:rPr>
                <w:rFonts w:cstheme="minorHAnsi"/>
                <w:b/>
              </w:rPr>
            </w:pPr>
            <w:r w:rsidRPr="00B8752B">
              <w:rPr>
                <w:rFonts w:cstheme="minorHAnsi"/>
                <w:b/>
              </w:rPr>
              <w:t>Distinguished</w:t>
            </w:r>
          </w:p>
        </w:tc>
      </w:tr>
      <w:bookmarkStart w:id="14" w:name="_Toc432627890"/>
      <w:bookmarkStart w:id="15" w:name="_Toc432777355"/>
      <w:bookmarkStart w:id="16" w:name="_Toc432777716"/>
      <w:tr w:rsidR="009466B9" w:rsidRPr="00B8752B" w:rsidTr="00E11E2C">
        <w:tc>
          <w:tcPr>
            <w:tcW w:w="1255" w:type="dxa"/>
          </w:tcPr>
          <w:p w:rsidR="009466B9" w:rsidRPr="00B8752B" w:rsidRDefault="009466B9" w:rsidP="00E11E2C">
            <w:pPr>
              <w:pStyle w:val="Heading2"/>
              <w:outlineLvl w:val="1"/>
            </w:pPr>
            <w:r w:rsidRPr="00B8752B"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21E965" wp14:editId="1A03AF3F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1003300</wp:posOffset>
                      </wp:positionV>
                      <wp:extent cx="714375" cy="581025"/>
                      <wp:effectExtent l="19050" t="19050" r="28575" b="28575"/>
                      <wp:wrapNone/>
                      <wp:docPr id="25" name="Hexagon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581025"/>
                              </a:xfrm>
                              <a:prstGeom prst="hexagon">
                                <a:avLst/>
                              </a:prstGeom>
                              <a:solidFill>
                                <a:srgbClr val="0070C0"/>
                              </a:solidFill>
                              <a:ln w="38100" cmpd="sng">
                                <a:solidFill>
                                  <a:srgbClr val="37A9F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466B9" w:rsidRPr="00AB3930" w:rsidRDefault="009466B9" w:rsidP="009466B9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40"/>
                                      <w:szCs w:val="4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1E965" id="Hexagon 25" o:spid="_x0000_s1030" type="#_x0000_t9" style="position:absolute;margin-left:-2.65pt;margin-top:79pt;width:56.25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" adj="4392" fillcolor="#0070c0" strokecolor="#37a9ff" strokeweight="3pt">
                      <v:textbox>
                        <w:txbxContent>
                          <w:p w:rsidR="009466B9" w:rsidRPr="00AB3930" w:rsidRDefault="009466B9" w:rsidP="009466B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End w:id="14"/>
            <w:bookmarkEnd w:id="15"/>
            <w:bookmarkEnd w:id="16"/>
          </w:p>
        </w:tc>
        <w:tc>
          <w:tcPr>
            <w:tcW w:w="2790" w:type="dxa"/>
          </w:tcPr>
          <w:p w:rsidR="009466B9" w:rsidRPr="00B8752B" w:rsidRDefault="009466B9" w:rsidP="00E11E2C">
            <w:pPr>
              <w:spacing w:before="24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observation summary and scoring forms are complete and reference evidence collected through the observation process. </w:t>
            </w:r>
          </w:p>
          <w:p w:rsidR="009466B9" w:rsidRPr="00B8752B" w:rsidRDefault="009466B9" w:rsidP="00E11E2C">
            <w:pPr>
              <w:spacing w:before="240"/>
              <w:rPr>
                <w:rFonts w:cstheme="minorHAnsi"/>
              </w:rPr>
            </w:pPr>
          </w:p>
        </w:tc>
        <w:tc>
          <w:tcPr>
            <w:tcW w:w="2880" w:type="dxa"/>
          </w:tcPr>
          <w:p w:rsidR="009466B9" w:rsidRPr="00B8752B" w:rsidRDefault="009466B9" w:rsidP="00E11E2C">
            <w:pPr>
              <w:spacing w:before="24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written feedback references practices, evidence, or other information collected during the observation process as a rationale for ratings on each standard. </w:t>
            </w:r>
          </w:p>
          <w:p w:rsidR="009466B9" w:rsidRPr="00B8752B" w:rsidRDefault="009466B9" w:rsidP="00E11E2C">
            <w:pPr>
              <w:spacing w:before="240"/>
              <w:rPr>
                <w:rFonts w:cstheme="minorHAnsi"/>
              </w:rPr>
            </w:pPr>
            <w:r w:rsidRPr="00B8752B">
              <w:rPr>
                <w:rFonts w:cstheme="minorHAnsi"/>
              </w:rPr>
              <w:t>The written feedback includes positive comments about the teacher’s instructional performance.</w:t>
            </w:r>
          </w:p>
          <w:p w:rsidR="009466B9" w:rsidRPr="00B8752B" w:rsidRDefault="009466B9" w:rsidP="00E11E2C">
            <w:pPr>
              <w:spacing w:before="240" w:after="24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written feedback uses vocabulary from the instructional framework. </w:t>
            </w:r>
          </w:p>
        </w:tc>
        <w:tc>
          <w:tcPr>
            <w:tcW w:w="3150" w:type="dxa"/>
          </w:tcPr>
          <w:p w:rsidR="009466B9" w:rsidRPr="00B8752B" w:rsidRDefault="009466B9" w:rsidP="00E11E2C">
            <w:pPr>
              <w:spacing w:before="240"/>
              <w:rPr>
                <w:rFonts w:cstheme="minorHAnsi"/>
              </w:rPr>
            </w:pPr>
            <w:r w:rsidRPr="00B8752B">
              <w:rPr>
                <w:rFonts w:cstheme="minorHAnsi"/>
              </w:rPr>
              <w:t>The written feedback identifies at least one area of growth and one area of strength for instructional improvement.</w:t>
            </w:r>
          </w:p>
          <w:p w:rsidR="009466B9" w:rsidRPr="00B8752B" w:rsidRDefault="009466B9" w:rsidP="00E11E2C">
            <w:pPr>
              <w:spacing w:before="240"/>
              <w:rPr>
                <w:rFonts w:cstheme="minorHAnsi"/>
              </w:rPr>
            </w:pPr>
            <w:r w:rsidRPr="00B8752B">
              <w:rPr>
                <w:rFonts w:cstheme="minorHAnsi"/>
              </w:rPr>
              <w:t xml:space="preserve">The written feedback clearly states actions that the teacher can take for instructional improvement and identifies timelines and evidence (in the professional growth plan). </w:t>
            </w:r>
          </w:p>
        </w:tc>
        <w:tc>
          <w:tcPr>
            <w:tcW w:w="2880" w:type="dxa"/>
          </w:tcPr>
          <w:p w:rsidR="009466B9" w:rsidRPr="00B8752B" w:rsidRDefault="009466B9" w:rsidP="00E11E2C">
            <w:pPr>
              <w:spacing w:before="240"/>
              <w:rPr>
                <w:rFonts w:cstheme="minorHAnsi"/>
              </w:rPr>
            </w:pPr>
            <w:r w:rsidRPr="00B8752B">
              <w:rPr>
                <w:rFonts w:cstheme="minorHAnsi"/>
              </w:rPr>
              <w:t>The written feedback clearly states the actions that school leadership (e.g., principal,</w:t>
            </w:r>
            <w:r>
              <w:rPr>
                <w:rFonts w:cstheme="minorHAnsi"/>
              </w:rPr>
              <w:t xml:space="preserve"> or assistant principal,</w:t>
            </w:r>
            <w:r w:rsidRPr="00B8752B">
              <w:rPr>
                <w:rFonts w:cstheme="minorHAnsi"/>
              </w:rPr>
              <w:t xml:space="preserve"> other administrators, teacher leaders, instructional coach) will take to support the teacher in improving performance.</w:t>
            </w:r>
          </w:p>
        </w:tc>
      </w:tr>
    </w:tbl>
    <w:p w:rsidR="009466B9" w:rsidRDefault="009466B9" w:rsidP="009466B9"/>
    <w:p w:rsidR="009466B9" w:rsidRPr="00A95670" w:rsidRDefault="009466B9" w:rsidP="009466B9"/>
    <w:p w:rsidR="009466B9" w:rsidRPr="00A95670" w:rsidRDefault="009466B9" w:rsidP="009466B9"/>
    <w:p w:rsidR="001004E3" w:rsidRDefault="001004E3"/>
    <w:sectPr w:rsidR="001004E3" w:rsidSect="009466B9">
      <w:headerReference w:type="default" r:id="rId6"/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670" w:rsidRDefault="00371670" w:rsidP="009466B9">
      <w:r>
        <w:separator/>
      </w:r>
    </w:p>
  </w:endnote>
  <w:endnote w:type="continuationSeparator" w:id="0">
    <w:p w:rsidR="00371670" w:rsidRDefault="00371670" w:rsidP="00946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670" w:rsidRDefault="00371670" w:rsidP="009466B9">
      <w:r>
        <w:separator/>
      </w:r>
    </w:p>
  </w:footnote>
  <w:footnote w:type="continuationSeparator" w:id="0">
    <w:p w:rsidR="00371670" w:rsidRDefault="00371670" w:rsidP="009466B9">
      <w:r>
        <w:continuationSeparator/>
      </w:r>
    </w:p>
  </w:footnote>
  <w:footnote w:id="1">
    <w:p w:rsidR="009466B9" w:rsidRPr="00D977F4" w:rsidRDefault="009466B9" w:rsidP="009466B9">
      <w:pPr>
        <w:pStyle w:val="FootnoteText"/>
        <w:rPr>
          <w:rFonts w:asciiTheme="minorHAnsi" w:hAnsiTheme="minorHAnsi" w:cstheme="minorHAnsi"/>
        </w:rPr>
      </w:pPr>
      <w:r w:rsidRPr="00D977F4">
        <w:rPr>
          <w:rStyle w:val="FootnoteReference"/>
          <w:rFonts w:asciiTheme="minorHAnsi" w:hAnsiTheme="minorHAnsi" w:cstheme="minorHAnsi"/>
        </w:rPr>
        <w:footnoteRef/>
      </w:r>
      <w:r w:rsidRPr="00D977F4">
        <w:rPr>
          <w:rFonts w:asciiTheme="minorHAnsi" w:hAnsiTheme="minorHAnsi" w:cstheme="minorHAnsi"/>
        </w:rPr>
        <w:t xml:space="preserve"> Evaluators can gather evidence for this indicator during their pre</w:t>
      </w:r>
      <w:r>
        <w:rPr>
          <w:rFonts w:asciiTheme="minorHAnsi" w:hAnsiTheme="minorHAnsi" w:cstheme="minorHAnsi"/>
        </w:rPr>
        <w:t>-</w:t>
      </w:r>
      <w:r w:rsidRPr="00D977F4">
        <w:rPr>
          <w:rFonts w:asciiTheme="minorHAnsi" w:hAnsiTheme="minorHAnsi" w:cstheme="minorHAnsi"/>
        </w:rPr>
        <w:t>observation meetings with the principal or by reviewing the principal and teacher’s pre</w:t>
      </w:r>
      <w:r>
        <w:rPr>
          <w:rFonts w:asciiTheme="minorHAnsi" w:hAnsiTheme="minorHAnsi" w:cstheme="minorHAnsi"/>
        </w:rPr>
        <w:t>-</w:t>
      </w:r>
      <w:r w:rsidRPr="00D977F4">
        <w:rPr>
          <w:rFonts w:asciiTheme="minorHAnsi" w:hAnsiTheme="minorHAnsi" w:cstheme="minorHAnsi"/>
        </w:rPr>
        <w:t xml:space="preserve">observation meeting forms.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63C" w:rsidRDefault="0089463C">
    <w:pPr>
      <w:pStyle w:val="Header"/>
    </w:pPr>
    <w:r>
      <w:drawing>
        <wp:inline distT="0" distB="0" distL="0" distR="0" wp14:anchorId="30349013" wp14:editId="6B880224">
          <wp:extent cx="2362200" cy="497205"/>
          <wp:effectExtent l="0" t="0" r="0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497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9463C" w:rsidRDefault="008946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6B9"/>
    <w:rsid w:val="001004E3"/>
    <w:rsid w:val="00371670"/>
    <w:rsid w:val="006332D9"/>
    <w:rsid w:val="0089463C"/>
    <w:rsid w:val="0094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3EE6DE-7C39-44E2-AB80-D99698BCA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6B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9466B9"/>
    <w:pPr>
      <w:keepNext/>
      <w:spacing w:after="60"/>
      <w:outlineLvl w:val="1"/>
    </w:pPr>
    <w:rPr>
      <w:rFonts w:asciiTheme="minorHAnsi" w:hAnsiTheme="minorHAnsi" w:cstheme="minorHAnsi"/>
      <w:b/>
      <w:iCs/>
      <w:noProof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466B9"/>
    <w:rPr>
      <w:rFonts w:cstheme="minorHAnsi"/>
      <w:b/>
      <w:iCs/>
      <w:noProof/>
      <w:color w:val="000000" w:themeColor="text1"/>
      <w:sz w:val="28"/>
      <w:szCs w:val="28"/>
    </w:rPr>
  </w:style>
  <w:style w:type="table" w:styleId="TableGrid">
    <w:name w:val="Table Grid"/>
    <w:basedOn w:val="TableNormal"/>
    <w:uiPriority w:val="39"/>
    <w:rsid w:val="00946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466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66B9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466B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466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66B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66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6B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5457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Debra Allison Layland</cp:lastModifiedBy>
  <cp:revision>2</cp:revision>
  <dcterms:created xsi:type="dcterms:W3CDTF">2016-05-12T21:24:00Z</dcterms:created>
  <dcterms:modified xsi:type="dcterms:W3CDTF">2016-05-12T21:24:00Z</dcterms:modified>
</cp:coreProperties>
</file>